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FC42F" w14:textId="76C56FED" w:rsidR="0014628C" w:rsidRDefault="002D7AAD" w:rsidP="00090666">
      <w:pPr>
        <w:spacing w:after="0" w:line="240" w:lineRule="auto"/>
        <w:jc w:val="center"/>
        <w:rPr>
          <w:rFonts w:ascii="Calibri" w:eastAsia="MS Mincho" w:hAnsi="Calibri" w:cs="Verdana"/>
          <w:b/>
          <w:color w:val="000000"/>
          <w:sz w:val="28"/>
          <w:szCs w:val="28"/>
        </w:rPr>
      </w:pPr>
      <w:bookmarkStart w:id="0" w:name="_GoBack"/>
      <w:bookmarkEnd w:id="0"/>
      <w:r w:rsidRPr="00D43573">
        <w:rPr>
          <w:b/>
          <w:noProof/>
          <w:lang w:eastAsia="en-GB"/>
        </w:rPr>
        <w:drawing>
          <wp:anchor distT="0" distB="0" distL="114300" distR="114300" simplePos="0" relativeHeight="251654144" behindDoc="0" locked="0" layoutInCell="1" allowOverlap="1" wp14:anchorId="6DD79A16" wp14:editId="0280FEFF">
            <wp:simplePos x="0" y="0"/>
            <wp:positionH relativeFrom="column">
              <wp:posOffset>-152400</wp:posOffset>
            </wp:positionH>
            <wp:positionV relativeFrom="paragraph">
              <wp:posOffset>-731520</wp:posOffset>
            </wp:positionV>
            <wp:extent cx="914400" cy="831215"/>
            <wp:effectExtent l="0" t="0" r="0" b="698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phne Street to Home Logo.jpg"/>
                    <pic:cNvPicPr/>
                  </pic:nvPicPr>
                  <pic:blipFill>
                    <a:blip r:embed="rId5">
                      <a:extLst>
                        <a:ext uri="{28A0092B-C50C-407E-A947-70E740481C1C}">
                          <a14:useLocalDpi xmlns:a14="http://schemas.microsoft.com/office/drawing/2010/main" val="0"/>
                        </a:ext>
                      </a:extLst>
                    </a:blip>
                    <a:stretch>
                      <a:fillRect/>
                    </a:stretch>
                  </pic:blipFill>
                  <pic:spPr>
                    <a:xfrm>
                      <a:off x="0" y="0"/>
                      <a:ext cx="914400" cy="831215"/>
                    </a:xfrm>
                    <a:prstGeom prst="rect">
                      <a:avLst/>
                    </a:prstGeom>
                  </pic:spPr>
                </pic:pic>
              </a:graphicData>
            </a:graphic>
            <wp14:sizeRelH relativeFrom="page">
              <wp14:pctWidth>0</wp14:pctWidth>
            </wp14:sizeRelH>
            <wp14:sizeRelV relativeFrom="page">
              <wp14:pctHeight>0</wp14:pctHeight>
            </wp14:sizeRelV>
          </wp:anchor>
        </w:drawing>
      </w:r>
      <w:r w:rsidR="0014628C" w:rsidRPr="00095B33">
        <w:rPr>
          <w:rFonts w:asciiTheme="majorHAnsi" w:hAnsiTheme="majorHAnsi"/>
          <w:b/>
          <w:noProof/>
          <w:sz w:val="28"/>
          <w:szCs w:val="28"/>
          <w:lang w:eastAsia="en-GB"/>
        </w:rPr>
        <w:drawing>
          <wp:anchor distT="0" distB="0" distL="114300" distR="114300" simplePos="0" relativeHeight="251659264" behindDoc="1" locked="0" layoutInCell="1" allowOverlap="1" wp14:anchorId="17D24A2A" wp14:editId="70DC31A9">
            <wp:simplePos x="0" y="0"/>
            <wp:positionH relativeFrom="column">
              <wp:posOffset>5006340</wp:posOffset>
            </wp:positionH>
            <wp:positionV relativeFrom="paragraph">
              <wp:posOffset>-609600</wp:posOffset>
            </wp:positionV>
            <wp:extent cx="863600" cy="586740"/>
            <wp:effectExtent l="0" t="0" r="0" b="0"/>
            <wp:wrapThrough wrapText="bothSides">
              <wp:wrapPolygon edited="0">
                <wp:start x="0" y="0"/>
                <wp:lineTo x="0" y="20571"/>
                <wp:lineTo x="20965" y="20571"/>
                <wp:lineTo x="20965"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360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14628C" w:rsidRPr="008F684C">
        <w:rPr>
          <w:rFonts w:ascii="Calibri" w:eastAsia="Calibri" w:hAnsi="Calibri" w:cs="Times New Roman"/>
          <w:noProof/>
          <w:lang w:eastAsia="en-GB"/>
        </w:rPr>
        <mc:AlternateContent>
          <mc:Choice Requires="wps">
            <w:drawing>
              <wp:anchor distT="45720" distB="45720" distL="114300" distR="114300" simplePos="0" relativeHeight="251664384" behindDoc="0" locked="0" layoutInCell="1" allowOverlap="1" wp14:anchorId="0992D7B6" wp14:editId="0F63DD86">
                <wp:simplePos x="0" y="0"/>
                <wp:positionH relativeFrom="column">
                  <wp:posOffset>4213860</wp:posOffset>
                </wp:positionH>
                <wp:positionV relativeFrom="paragraph">
                  <wp:posOffset>-12065</wp:posOffset>
                </wp:positionV>
                <wp:extent cx="2453640" cy="388620"/>
                <wp:effectExtent l="0" t="0" r="381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388620"/>
                        </a:xfrm>
                        <a:prstGeom prst="rect">
                          <a:avLst/>
                        </a:prstGeom>
                        <a:solidFill>
                          <a:srgbClr val="FFFFFF"/>
                        </a:solidFill>
                        <a:ln w="9525">
                          <a:noFill/>
                          <a:miter lim="800000"/>
                          <a:headEnd/>
                          <a:tailEnd/>
                        </a:ln>
                      </wps:spPr>
                      <wps:txbx>
                        <w:txbxContent>
                          <w:p w14:paraId="18505477" w14:textId="77777777" w:rsidR="0014628C" w:rsidRPr="002D4D67" w:rsidRDefault="0014628C" w:rsidP="0014628C">
                            <w:pPr>
                              <w:spacing w:after="0" w:line="240" w:lineRule="auto"/>
                              <w:jc w:val="center"/>
                              <w:rPr>
                                <w:rFonts w:ascii="Gill Sans MT" w:eastAsia="MS Mincho" w:hAnsi="Gill Sans MT" w:cs="Times New Roman"/>
                                <w:color w:val="000000"/>
                                <w:sz w:val="18"/>
                                <w:szCs w:val="18"/>
                              </w:rPr>
                            </w:pPr>
                            <w:r w:rsidRPr="008F684C">
                              <w:rPr>
                                <w:rFonts w:ascii="Gill Sans MT" w:eastAsia="MS Mincho" w:hAnsi="Gill Sans MT" w:cs="Times New Roman"/>
                                <w:color w:val="000000"/>
                                <w:sz w:val="18"/>
                                <w:szCs w:val="18"/>
                              </w:rPr>
                              <w:t xml:space="preserve">With financial support from the </w:t>
                            </w:r>
                          </w:p>
                          <w:p w14:paraId="5CC51E03" w14:textId="77777777" w:rsidR="0014628C" w:rsidRPr="008F684C" w:rsidRDefault="0014628C" w:rsidP="0014628C">
                            <w:pPr>
                              <w:spacing w:after="0" w:line="240" w:lineRule="auto"/>
                              <w:jc w:val="center"/>
                              <w:rPr>
                                <w:rFonts w:ascii="Gill Sans MT" w:eastAsia="MS Mincho" w:hAnsi="Gill Sans MT" w:cs="Times New Roman"/>
                                <w:color w:val="000000"/>
                                <w:sz w:val="18"/>
                                <w:szCs w:val="18"/>
                              </w:rPr>
                            </w:pPr>
                            <w:r w:rsidRPr="008F684C">
                              <w:rPr>
                                <w:rFonts w:ascii="Gill Sans MT" w:eastAsia="MS Mincho" w:hAnsi="Gill Sans MT" w:cs="Times New Roman"/>
                                <w:color w:val="000000"/>
                                <w:sz w:val="18"/>
                                <w:szCs w:val="18"/>
                              </w:rPr>
                              <w:t>DAPHNE Programme of the European Union</w:t>
                            </w:r>
                          </w:p>
                          <w:p w14:paraId="111D4F8E" w14:textId="77777777" w:rsidR="0014628C" w:rsidRDefault="0014628C" w:rsidP="001462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92D7B6" id="_x0000_t202" coordsize="21600,21600" o:spt="202" path="m,l,21600r21600,l21600,xe">
                <v:stroke joinstyle="miter"/>
                <v:path gradientshapeok="t" o:connecttype="rect"/>
              </v:shapetype>
              <v:shape id="Text Box 2" o:spid="_x0000_s1026" type="#_x0000_t202" style="position:absolute;left:0;text-align:left;margin-left:331.8pt;margin-top:-.95pt;width:193.2pt;height:3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" stroked="f">
                <v:textbox>
                  <w:txbxContent>
                    <w:p w14:paraId="18505477" w14:textId="77777777" w:rsidR="0014628C" w:rsidRPr="002D4D67" w:rsidRDefault="0014628C" w:rsidP="0014628C">
                      <w:pPr>
                        <w:spacing w:after="0" w:line="240" w:lineRule="auto"/>
                        <w:jc w:val="center"/>
                        <w:rPr>
                          <w:rFonts w:ascii="Gill Sans MT" w:eastAsia="MS Mincho" w:hAnsi="Gill Sans MT" w:cs="Times New Roman"/>
                          <w:color w:val="000000"/>
                          <w:sz w:val="18"/>
                          <w:szCs w:val="18"/>
                        </w:rPr>
                      </w:pPr>
                      <w:r w:rsidRPr="008F684C">
                        <w:rPr>
                          <w:rFonts w:ascii="Gill Sans MT" w:eastAsia="MS Mincho" w:hAnsi="Gill Sans MT" w:cs="Times New Roman"/>
                          <w:color w:val="000000"/>
                          <w:sz w:val="18"/>
                          <w:szCs w:val="18"/>
                        </w:rPr>
                        <w:t xml:space="preserve">With financial support from the </w:t>
                      </w:r>
                    </w:p>
                    <w:p w14:paraId="5CC51E03" w14:textId="77777777" w:rsidR="0014628C" w:rsidRPr="008F684C" w:rsidRDefault="0014628C" w:rsidP="0014628C">
                      <w:pPr>
                        <w:spacing w:after="0" w:line="240" w:lineRule="auto"/>
                        <w:jc w:val="center"/>
                        <w:rPr>
                          <w:rFonts w:ascii="Gill Sans MT" w:eastAsia="MS Mincho" w:hAnsi="Gill Sans MT" w:cs="Times New Roman"/>
                          <w:color w:val="000000"/>
                          <w:sz w:val="18"/>
                          <w:szCs w:val="18"/>
                        </w:rPr>
                      </w:pPr>
                      <w:r w:rsidRPr="008F684C">
                        <w:rPr>
                          <w:rFonts w:ascii="Gill Sans MT" w:eastAsia="MS Mincho" w:hAnsi="Gill Sans MT" w:cs="Times New Roman"/>
                          <w:color w:val="000000"/>
                          <w:sz w:val="18"/>
                          <w:szCs w:val="18"/>
                        </w:rPr>
                        <w:t>DAPHNE Programme of the European Union</w:t>
                      </w:r>
                    </w:p>
                    <w:p w14:paraId="111D4F8E" w14:textId="77777777" w:rsidR="0014628C" w:rsidRDefault="0014628C" w:rsidP="0014628C"/>
                  </w:txbxContent>
                </v:textbox>
                <w10:wrap type="square"/>
              </v:shape>
            </w:pict>
          </mc:Fallback>
        </mc:AlternateContent>
      </w:r>
    </w:p>
    <w:p w14:paraId="226608BB" w14:textId="09422CAF" w:rsidR="0014628C" w:rsidRDefault="0014628C" w:rsidP="00090666">
      <w:pPr>
        <w:spacing w:after="0" w:line="240" w:lineRule="auto"/>
        <w:jc w:val="center"/>
        <w:rPr>
          <w:rFonts w:ascii="Calibri" w:eastAsia="MS Mincho" w:hAnsi="Calibri" w:cs="Verdana"/>
          <w:b/>
          <w:color w:val="000000"/>
          <w:sz w:val="28"/>
          <w:szCs w:val="28"/>
        </w:rPr>
      </w:pPr>
    </w:p>
    <w:p w14:paraId="41F9FE65" w14:textId="5B71104F" w:rsidR="00973FCF" w:rsidRDefault="00A603B9" w:rsidP="00090666">
      <w:pPr>
        <w:spacing w:after="0" w:line="240" w:lineRule="auto"/>
        <w:jc w:val="center"/>
        <w:rPr>
          <w:rFonts w:ascii="Calibri" w:eastAsia="MS Mincho" w:hAnsi="Calibri" w:cs="Verdana"/>
          <w:b/>
          <w:color w:val="000000"/>
          <w:sz w:val="28"/>
          <w:szCs w:val="28"/>
        </w:rPr>
      </w:pPr>
      <w:proofErr w:type="spellStart"/>
      <w:r>
        <w:rPr>
          <w:rFonts w:ascii="Calibri" w:eastAsia="MS Mincho" w:hAnsi="Calibri" w:cs="Verdana"/>
          <w:b/>
          <w:color w:val="000000"/>
          <w:sz w:val="28"/>
          <w:szCs w:val="28"/>
        </w:rPr>
        <w:t>Workstream</w:t>
      </w:r>
      <w:proofErr w:type="spellEnd"/>
      <w:r>
        <w:rPr>
          <w:rFonts w:ascii="Calibri" w:eastAsia="MS Mincho" w:hAnsi="Calibri" w:cs="Verdana"/>
          <w:b/>
          <w:color w:val="000000"/>
          <w:sz w:val="28"/>
          <w:szCs w:val="28"/>
        </w:rPr>
        <w:t xml:space="preserve"> 3 deliverable 3.3a</w:t>
      </w:r>
    </w:p>
    <w:p w14:paraId="331F052E" w14:textId="77777777" w:rsidR="00A603B9" w:rsidRDefault="00A603B9" w:rsidP="00090666">
      <w:pPr>
        <w:spacing w:after="0" w:line="240" w:lineRule="auto"/>
        <w:jc w:val="center"/>
        <w:rPr>
          <w:rFonts w:ascii="Calibri" w:eastAsia="MS Mincho" w:hAnsi="Calibri" w:cs="Verdana"/>
          <w:b/>
          <w:color w:val="000000"/>
          <w:sz w:val="28"/>
          <w:szCs w:val="28"/>
        </w:rPr>
      </w:pPr>
    </w:p>
    <w:p w14:paraId="2EA138F1" w14:textId="77777777" w:rsidR="00090666" w:rsidRPr="00973FCF" w:rsidRDefault="00153551" w:rsidP="00973FCF">
      <w:pPr>
        <w:spacing w:after="0" w:line="240" w:lineRule="auto"/>
        <w:jc w:val="center"/>
        <w:rPr>
          <w:rFonts w:ascii="Calibri" w:eastAsia="MS Mincho" w:hAnsi="Calibri" w:cs="Verdana"/>
          <w:b/>
          <w:color w:val="000000"/>
          <w:sz w:val="28"/>
          <w:szCs w:val="28"/>
        </w:rPr>
      </w:pPr>
      <w:r>
        <w:rPr>
          <w:rFonts w:ascii="Calibri" w:eastAsia="MS Mincho" w:hAnsi="Calibri" w:cs="Verdana"/>
          <w:b/>
          <w:color w:val="000000"/>
          <w:sz w:val="28"/>
          <w:szCs w:val="28"/>
        </w:rPr>
        <w:t xml:space="preserve">Summary </w:t>
      </w:r>
      <w:r w:rsidR="00090666" w:rsidRPr="00153551">
        <w:rPr>
          <w:rFonts w:ascii="Calibri" w:eastAsia="MS Mincho" w:hAnsi="Calibri" w:cs="Verdana"/>
          <w:b/>
          <w:color w:val="000000"/>
          <w:sz w:val="28"/>
          <w:szCs w:val="28"/>
        </w:rPr>
        <w:t>EU Vision Document Breaking the Cycle: Integrated support for women with multiple needs.</w:t>
      </w:r>
    </w:p>
    <w:p w14:paraId="7A123DA1" w14:textId="77777777" w:rsidR="00090666" w:rsidRPr="00153551" w:rsidRDefault="00090666" w:rsidP="00090666">
      <w:pPr>
        <w:spacing w:after="0" w:line="240" w:lineRule="auto"/>
        <w:rPr>
          <w:rFonts w:ascii="Calibri" w:eastAsia="MS Mincho" w:hAnsi="Calibri" w:cs="Verdana"/>
          <w:b/>
          <w:color w:val="000000"/>
        </w:rPr>
      </w:pPr>
      <w:r w:rsidRPr="00153551">
        <w:rPr>
          <w:rFonts w:ascii="Calibri" w:eastAsia="MS Mincho" w:hAnsi="Calibri" w:cs="Verdana"/>
          <w:b/>
          <w:color w:val="000000"/>
        </w:rPr>
        <w:t>Purpose</w:t>
      </w:r>
    </w:p>
    <w:p w14:paraId="28D33FA7" w14:textId="77777777" w:rsidR="00090666" w:rsidRPr="00153551" w:rsidRDefault="00090666" w:rsidP="00090666">
      <w:pPr>
        <w:spacing w:after="0" w:line="240" w:lineRule="auto"/>
        <w:rPr>
          <w:rFonts w:ascii="Calibri" w:eastAsia="MS Mincho" w:hAnsi="Calibri" w:cs="Verdana"/>
          <w:color w:val="000000"/>
        </w:rPr>
      </w:pPr>
      <w:r w:rsidRPr="00153551">
        <w:rPr>
          <w:rFonts w:ascii="Calibri" w:eastAsia="MS Mincho" w:hAnsi="Calibri" w:cs="Verdana"/>
          <w:color w:val="000000"/>
        </w:rPr>
        <w:t xml:space="preserve">The Daphne project </w:t>
      </w:r>
      <w:r w:rsidRPr="00153551">
        <w:rPr>
          <w:rFonts w:ascii="Calibri" w:eastAsia="MS Mincho" w:hAnsi="Calibri" w:cs="Verdana"/>
          <w:i/>
          <w:color w:val="000000"/>
        </w:rPr>
        <w:t>From Street to Home</w:t>
      </w:r>
      <w:r w:rsidRPr="00153551">
        <w:rPr>
          <w:rFonts w:ascii="Calibri" w:eastAsia="MS Mincho" w:hAnsi="Calibri" w:cs="Verdana"/>
          <w:color w:val="000000"/>
        </w:rPr>
        <w:t xml:space="preserve"> sets out a vision of how to achieve an EU standardized approach to establishing and running integrated services for women with multiple needs at risk of violence to include the provision of social on-going support and housing.</w:t>
      </w:r>
    </w:p>
    <w:p w14:paraId="4B3DAE60" w14:textId="77777777" w:rsidR="00090666" w:rsidRPr="00153551" w:rsidRDefault="00090666" w:rsidP="00090666">
      <w:pPr>
        <w:spacing w:after="0" w:line="240" w:lineRule="auto"/>
        <w:rPr>
          <w:rFonts w:ascii="Calibri" w:eastAsia="MS Mincho" w:hAnsi="Calibri" w:cs="Verdana"/>
          <w:b/>
          <w:color w:val="000000"/>
          <w:lang w:val="en-US"/>
        </w:rPr>
      </w:pPr>
    </w:p>
    <w:p w14:paraId="1857885F" w14:textId="77777777" w:rsidR="00090666" w:rsidRPr="00153551" w:rsidRDefault="00090666" w:rsidP="00090666">
      <w:pPr>
        <w:spacing w:after="0" w:line="240" w:lineRule="auto"/>
        <w:rPr>
          <w:rFonts w:ascii="Calibri" w:eastAsia="MS Mincho" w:hAnsi="Calibri" w:cs="Verdana"/>
          <w:b/>
          <w:color w:val="000000"/>
          <w:lang w:val="en-US"/>
        </w:rPr>
      </w:pPr>
      <w:r w:rsidRPr="00153551">
        <w:rPr>
          <w:rFonts w:ascii="Calibri" w:eastAsia="MS Mincho" w:hAnsi="Calibri" w:cs="Verdana"/>
          <w:b/>
          <w:color w:val="000000"/>
          <w:lang w:val="en-US"/>
        </w:rPr>
        <w:t>Vision and Approach</w:t>
      </w:r>
    </w:p>
    <w:p w14:paraId="711762C6" w14:textId="77777777" w:rsidR="00090666" w:rsidRPr="00153551" w:rsidRDefault="00090666" w:rsidP="00090666">
      <w:pPr>
        <w:spacing w:after="0" w:line="240" w:lineRule="auto"/>
        <w:rPr>
          <w:rFonts w:ascii="Calibri" w:eastAsia="MS Mincho" w:hAnsi="Calibri" w:cs="Verdana"/>
          <w:color w:val="000000"/>
          <w:sz w:val="20"/>
          <w:szCs w:val="20"/>
          <w:lang w:val="en-US"/>
        </w:rPr>
      </w:pPr>
      <w:r w:rsidRPr="00153551">
        <w:rPr>
          <w:rFonts w:ascii="Calibri" w:eastAsia="MS Mincho" w:hAnsi="Calibri" w:cs="Verdana"/>
          <w:color w:val="000000"/>
          <w:sz w:val="20"/>
          <w:szCs w:val="20"/>
          <w:lang w:val="en-US"/>
        </w:rPr>
        <w:t>A coherent and committed strategy is required that focuses on the needs and expectations of all stakeholders and aims to address the barriers and constraints that currently affect provision. There is a need for a harmonizing initiative to guide alignment in policy and implementation and ensure that best practices are followed, mistakes are not repeated, and collaboration occurs where it is needed. Furthermore, it is imperative that these issues are promoted in the public and political domains to encourage action to alleviate the difficulties faced by women with complex needs. There is also a need to bring cost effective best practice into play more widely amongst EU member states and introduce practical help and promote solutions that will deliver benefits.</w:t>
      </w:r>
    </w:p>
    <w:p w14:paraId="293543F6" w14:textId="77777777" w:rsidR="00090666" w:rsidRPr="00153551" w:rsidRDefault="00090666" w:rsidP="00090666">
      <w:pPr>
        <w:spacing w:after="0" w:line="240" w:lineRule="auto"/>
        <w:rPr>
          <w:rFonts w:ascii="Calibri" w:eastAsia="MS Mincho" w:hAnsi="Calibri" w:cs="Times New Roman"/>
          <w:sz w:val="20"/>
          <w:szCs w:val="20"/>
        </w:rPr>
      </w:pPr>
    </w:p>
    <w:p w14:paraId="7B7CFBEC" w14:textId="77777777" w:rsidR="00090666" w:rsidRPr="00153551" w:rsidRDefault="00090666" w:rsidP="00090666">
      <w:pPr>
        <w:spacing w:after="0" w:line="240" w:lineRule="auto"/>
        <w:rPr>
          <w:rFonts w:ascii="Calibri" w:eastAsia="MS Mincho" w:hAnsi="Calibri" w:cs="Times New Roman"/>
          <w:b/>
        </w:rPr>
      </w:pPr>
      <w:r w:rsidRPr="00153551">
        <w:rPr>
          <w:rFonts w:ascii="Calibri" w:eastAsia="MS Mincho" w:hAnsi="Calibri" w:cs="Times New Roman"/>
          <w:b/>
        </w:rPr>
        <w:t>What is needed?</w:t>
      </w:r>
    </w:p>
    <w:p w14:paraId="04D9787C" w14:textId="77777777" w:rsidR="00090666" w:rsidRPr="00153551" w:rsidRDefault="00090666" w:rsidP="00090666">
      <w:pPr>
        <w:spacing w:after="0" w:line="240" w:lineRule="auto"/>
        <w:rPr>
          <w:rFonts w:ascii="Calibri" w:eastAsia="MS Mincho" w:hAnsi="Calibri" w:cs="Times New Roman"/>
          <w:sz w:val="20"/>
          <w:szCs w:val="20"/>
        </w:rPr>
      </w:pPr>
      <w:r w:rsidRPr="00153551">
        <w:rPr>
          <w:rFonts w:ascii="Calibri" w:eastAsia="MS Mincho" w:hAnsi="Calibri" w:cs="Times New Roman"/>
          <w:sz w:val="20"/>
          <w:szCs w:val="20"/>
        </w:rPr>
        <w:t xml:space="preserve">Responding to the needs of women who have experienced DV and abuse is reinforced by a commitment to human rights including the right to live free from violence and the right to make informed choices. </w:t>
      </w:r>
    </w:p>
    <w:p w14:paraId="25EFE851" w14:textId="77777777" w:rsidR="00090666" w:rsidRPr="00153551" w:rsidRDefault="00090666" w:rsidP="00090666">
      <w:pPr>
        <w:spacing w:after="0" w:line="240" w:lineRule="auto"/>
        <w:rPr>
          <w:rFonts w:ascii="Calibri" w:eastAsia="MS Mincho" w:hAnsi="Calibri" w:cs="Times New Roman"/>
          <w:sz w:val="20"/>
          <w:szCs w:val="20"/>
        </w:rPr>
      </w:pPr>
      <w:r w:rsidRPr="00153551">
        <w:rPr>
          <w:rFonts w:ascii="Calibri" w:eastAsia="MS Mincho" w:hAnsi="Calibri" w:cs="Times New Roman"/>
          <w:sz w:val="20"/>
          <w:szCs w:val="20"/>
        </w:rPr>
        <w:t>The project has indicated that Member States are currently at different stages of implementing effective approaches to address need. We recommend that a realistic minimum standard of provision is formulated and implemented. The standards that follow are informed and underpinned by the lived experience of women’s experiences of domestic violence and abuse and interviews with key stakeholders who provide services for the women. We recommend that a minimum standard of provision should be predicated on the following:</w:t>
      </w:r>
    </w:p>
    <w:p w14:paraId="7FB038E6" w14:textId="77777777" w:rsidR="00090666" w:rsidRPr="00153551" w:rsidRDefault="00090666" w:rsidP="00090666">
      <w:pPr>
        <w:spacing w:after="0" w:line="240" w:lineRule="auto"/>
        <w:rPr>
          <w:rFonts w:ascii="Calibri" w:eastAsia="MS Mincho" w:hAnsi="Calibri" w:cs="Times New Roman"/>
          <w:sz w:val="20"/>
          <w:szCs w:val="20"/>
        </w:rPr>
      </w:pPr>
      <w:r w:rsidRPr="00153551">
        <w:rPr>
          <w:rFonts w:ascii="Calibri" w:eastAsia="MS Mincho" w:hAnsi="Calibri" w:cs="Times New Roman"/>
          <w:sz w:val="20"/>
          <w:szCs w:val="20"/>
        </w:rPr>
        <w:t>1</w:t>
      </w:r>
      <w:r w:rsidRPr="00153551">
        <w:rPr>
          <w:rFonts w:ascii="Calibri" w:eastAsia="MS Mincho" w:hAnsi="Calibri" w:cs="Times New Roman"/>
          <w:b/>
          <w:sz w:val="20"/>
          <w:szCs w:val="20"/>
        </w:rPr>
        <w:t>. Holistic service provision</w:t>
      </w:r>
      <w:r w:rsidRPr="00153551">
        <w:rPr>
          <w:rFonts w:ascii="Calibri" w:eastAsia="MS Mincho" w:hAnsi="Calibri" w:cs="Times New Roman"/>
          <w:sz w:val="20"/>
          <w:szCs w:val="20"/>
        </w:rPr>
        <w:t xml:space="preserve"> to include help with accessing safe and secure housing;</w:t>
      </w:r>
    </w:p>
    <w:p w14:paraId="2683C8B7" w14:textId="77777777" w:rsidR="00090666" w:rsidRPr="00153551" w:rsidRDefault="00090666" w:rsidP="00090666">
      <w:pPr>
        <w:spacing w:after="0" w:line="240" w:lineRule="auto"/>
        <w:rPr>
          <w:rFonts w:ascii="Calibri" w:eastAsia="MS Mincho" w:hAnsi="Calibri" w:cs="Times New Roman"/>
          <w:sz w:val="20"/>
          <w:szCs w:val="20"/>
        </w:rPr>
      </w:pPr>
      <w:r w:rsidRPr="00153551">
        <w:rPr>
          <w:rFonts w:ascii="Calibri" w:eastAsia="MS Mincho" w:hAnsi="Calibri" w:cs="Times New Roman"/>
          <w:sz w:val="20"/>
          <w:szCs w:val="20"/>
        </w:rPr>
        <w:t xml:space="preserve">2. </w:t>
      </w:r>
      <w:r w:rsidRPr="00153551">
        <w:rPr>
          <w:rFonts w:ascii="Calibri" w:eastAsia="MS Mincho" w:hAnsi="Calibri" w:cs="Times New Roman"/>
          <w:b/>
          <w:sz w:val="20"/>
          <w:szCs w:val="20"/>
        </w:rPr>
        <w:t>Empathetic, accepting and non-judgemental service delivery;</w:t>
      </w:r>
    </w:p>
    <w:p w14:paraId="28B7E362" w14:textId="77777777" w:rsidR="00090666" w:rsidRPr="00153551" w:rsidRDefault="00090666" w:rsidP="00090666">
      <w:pPr>
        <w:spacing w:after="0" w:line="240" w:lineRule="auto"/>
        <w:rPr>
          <w:rFonts w:ascii="Calibri" w:eastAsia="MS Mincho" w:hAnsi="Calibri" w:cs="Times New Roman"/>
          <w:sz w:val="20"/>
          <w:szCs w:val="20"/>
        </w:rPr>
      </w:pPr>
      <w:r w:rsidRPr="00153551">
        <w:rPr>
          <w:rFonts w:ascii="Calibri" w:eastAsia="MS Mincho" w:hAnsi="Calibri" w:cs="Times New Roman"/>
          <w:sz w:val="20"/>
          <w:szCs w:val="20"/>
        </w:rPr>
        <w:t>3</w:t>
      </w:r>
      <w:r w:rsidRPr="00153551">
        <w:rPr>
          <w:rFonts w:ascii="Calibri" w:eastAsia="MS Mincho" w:hAnsi="Calibri" w:cs="Times New Roman"/>
          <w:b/>
          <w:sz w:val="20"/>
          <w:szCs w:val="20"/>
        </w:rPr>
        <w:t>. Empowerment</w:t>
      </w:r>
      <w:r w:rsidRPr="00153551">
        <w:rPr>
          <w:rFonts w:ascii="Calibri" w:eastAsia="MS Mincho" w:hAnsi="Calibri" w:cs="Times New Roman"/>
          <w:sz w:val="20"/>
          <w:szCs w:val="20"/>
        </w:rPr>
        <w:t xml:space="preserve"> –women are able to identify and express their needs and to make decisions in a    </w:t>
      </w:r>
    </w:p>
    <w:p w14:paraId="319AE458" w14:textId="77777777" w:rsidR="00090666" w:rsidRPr="00153551" w:rsidRDefault="00090666" w:rsidP="00090666">
      <w:pPr>
        <w:spacing w:after="0" w:line="240" w:lineRule="auto"/>
        <w:ind w:left="284" w:hanging="284"/>
        <w:rPr>
          <w:rFonts w:ascii="Calibri" w:eastAsia="MS Mincho" w:hAnsi="Calibri" w:cs="Times New Roman"/>
          <w:sz w:val="20"/>
          <w:szCs w:val="20"/>
        </w:rPr>
      </w:pPr>
      <w:r w:rsidRPr="00153551">
        <w:rPr>
          <w:rFonts w:ascii="Calibri" w:eastAsia="MS Mincho" w:hAnsi="Calibri" w:cs="Times New Roman"/>
          <w:sz w:val="20"/>
          <w:szCs w:val="20"/>
        </w:rPr>
        <w:t xml:space="preserve">    </w:t>
      </w:r>
      <w:proofErr w:type="gramStart"/>
      <w:r w:rsidRPr="00153551">
        <w:rPr>
          <w:rFonts w:ascii="Calibri" w:eastAsia="MS Mincho" w:hAnsi="Calibri" w:cs="Times New Roman"/>
          <w:sz w:val="20"/>
          <w:szCs w:val="20"/>
        </w:rPr>
        <w:t>supportive</w:t>
      </w:r>
      <w:proofErr w:type="gramEnd"/>
      <w:r w:rsidRPr="00153551">
        <w:rPr>
          <w:rFonts w:ascii="Calibri" w:eastAsia="MS Mincho" w:hAnsi="Calibri" w:cs="Times New Roman"/>
          <w:sz w:val="20"/>
          <w:szCs w:val="20"/>
        </w:rPr>
        <w:t xml:space="preserve"> and non-judgmental environment.</w:t>
      </w:r>
    </w:p>
    <w:p w14:paraId="1E36D139" w14:textId="77777777" w:rsidR="00090666" w:rsidRPr="00153551" w:rsidRDefault="00090666" w:rsidP="00090666">
      <w:pPr>
        <w:spacing w:after="0" w:line="240" w:lineRule="auto"/>
        <w:ind w:left="284" w:hanging="284"/>
        <w:rPr>
          <w:rFonts w:ascii="Calibri" w:eastAsia="MS Mincho" w:hAnsi="Calibri" w:cs="Times New Roman"/>
          <w:sz w:val="20"/>
          <w:szCs w:val="20"/>
        </w:rPr>
      </w:pPr>
      <w:r w:rsidRPr="00153551">
        <w:rPr>
          <w:rFonts w:ascii="Calibri" w:eastAsia="MS Mincho" w:hAnsi="Calibri" w:cs="Times New Roman"/>
          <w:sz w:val="20"/>
          <w:szCs w:val="20"/>
        </w:rPr>
        <w:t xml:space="preserve">4. </w:t>
      </w:r>
      <w:r w:rsidRPr="00153551">
        <w:rPr>
          <w:rFonts w:ascii="Calibri" w:eastAsia="MS Mincho" w:hAnsi="Calibri" w:cs="Times New Roman"/>
          <w:b/>
          <w:sz w:val="20"/>
          <w:szCs w:val="20"/>
        </w:rPr>
        <w:t>Increased awareness</w:t>
      </w:r>
      <w:r w:rsidRPr="00153551">
        <w:rPr>
          <w:rFonts w:ascii="Calibri" w:eastAsia="MS Mincho" w:hAnsi="Calibri" w:cs="Times New Roman"/>
          <w:sz w:val="20"/>
          <w:szCs w:val="20"/>
        </w:rPr>
        <w:t xml:space="preserve"> of mental health issues affecting women among both professionals and the </w:t>
      </w:r>
    </w:p>
    <w:p w14:paraId="38053599" w14:textId="77777777" w:rsidR="00090666" w:rsidRPr="00153551" w:rsidRDefault="00090666" w:rsidP="00090666">
      <w:pPr>
        <w:spacing w:after="0" w:line="240" w:lineRule="auto"/>
        <w:ind w:left="284" w:hanging="284"/>
        <w:rPr>
          <w:rFonts w:ascii="Calibri" w:eastAsia="MS Mincho" w:hAnsi="Calibri" w:cs="Times New Roman"/>
          <w:sz w:val="20"/>
          <w:szCs w:val="20"/>
        </w:rPr>
      </w:pPr>
      <w:r w:rsidRPr="00153551">
        <w:rPr>
          <w:rFonts w:ascii="Calibri" w:eastAsia="MS Mincho" w:hAnsi="Calibri" w:cs="Times New Roman"/>
          <w:sz w:val="20"/>
          <w:szCs w:val="20"/>
        </w:rPr>
        <w:t xml:space="preserve">    </w:t>
      </w:r>
      <w:proofErr w:type="gramStart"/>
      <w:r w:rsidRPr="00153551">
        <w:rPr>
          <w:rFonts w:ascii="Calibri" w:eastAsia="MS Mincho" w:hAnsi="Calibri" w:cs="Times New Roman"/>
          <w:sz w:val="20"/>
          <w:szCs w:val="20"/>
        </w:rPr>
        <w:t>public</w:t>
      </w:r>
      <w:proofErr w:type="gramEnd"/>
      <w:r w:rsidRPr="00153551">
        <w:rPr>
          <w:rFonts w:ascii="Calibri" w:eastAsia="MS Mincho" w:hAnsi="Calibri" w:cs="Times New Roman"/>
          <w:sz w:val="20"/>
          <w:szCs w:val="20"/>
        </w:rPr>
        <w:t xml:space="preserve">; </w:t>
      </w:r>
    </w:p>
    <w:p w14:paraId="3AE609C5" w14:textId="77777777" w:rsidR="00090666" w:rsidRPr="00153551" w:rsidRDefault="00090666" w:rsidP="00090666">
      <w:pPr>
        <w:spacing w:after="0" w:line="240" w:lineRule="auto"/>
        <w:rPr>
          <w:rFonts w:ascii="Calibri" w:eastAsia="MS Mincho" w:hAnsi="Calibri" w:cs="Times New Roman"/>
          <w:sz w:val="20"/>
          <w:szCs w:val="20"/>
        </w:rPr>
      </w:pPr>
      <w:r w:rsidRPr="00153551">
        <w:rPr>
          <w:rFonts w:ascii="Calibri" w:eastAsia="MS Mincho" w:hAnsi="Calibri" w:cs="Times New Roman"/>
          <w:sz w:val="20"/>
          <w:szCs w:val="20"/>
        </w:rPr>
        <w:t xml:space="preserve">5. </w:t>
      </w:r>
      <w:r w:rsidRPr="00153551">
        <w:rPr>
          <w:rFonts w:ascii="Calibri" w:eastAsia="MS Mincho" w:hAnsi="Calibri" w:cs="Times New Roman"/>
          <w:b/>
          <w:sz w:val="20"/>
          <w:szCs w:val="20"/>
        </w:rPr>
        <w:t>Partnership between agencies</w:t>
      </w:r>
      <w:r w:rsidRPr="00153551">
        <w:rPr>
          <w:rFonts w:ascii="Calibri" w:eastAsia="MS Mincho" w:hAnsi="Calibri" w:cs="Times New Roman"/>
          <w:sz w:val="20"/>
          <w:szCs w:val="20"/>
        </w:rPr>
        <w:t xml:space="preserve"> - services that women access should operate within a situation of</w:t>
      </w:r>
    </w:p>
    <w:p w14:paraId="2611A695" w14:textId="77777777" w:rsidR="00090666" w:rsidRPr="00153551" w:rsidRDefault="00090666" w:rsidP="00090666">
      <w:pPr>
        <w:spacing w:after="0" w:line="240" w:lineRule="auto"/>
        <w:rPr>
          <w:rFonts w:ascii="Calibri" w:eastAsia="MS Mincho" w:hAnsi="Calibri" w:cs="Times New Roman"/>
          <w:sz w:val="20"/>
          <w:szCs w:val="20"/>
        </w:rPr>
      </w:pPr>
      <w:r w:rsidRPr="00153551">
        <w:rPr>
          <w:rFonts w:ascii="Calibri" w:eastAsia="MS Mincho" w:hAnsi="Calibri" w:cs="Times New Roman"/>
          <w:sz w:val="20"/>
          <w:szCs w:val="20"/>
        </w:rPr>
        <w:t xml:space="preserve">     </w:t>
      </w:r>
      <w:proofErr w:type="gramStart"/>
      <w:r w:rsidRPr="00153551">
        <w:rPr>
          <w:rFonts w:ascii="Calibri" w:eastAsia="MS Mincho" w:hAnsi="Calibri" w:cs="Times New Roman"/>
          <w:sz w:val="20"/>
          <w:szCs w:val="20"/>
        </w:rPr>
        <w:t>inter-agency</w:t>
      </w:r>
      <w:proofErr w:type="gramEnd"/>
      <w:r w:rsidRPr="00153551">
        <w:rPr>
          <w:rFonts w:ascii="Calibri" w:eastAsia="MS Mincho" w:hAnsi="Calibri" w:cs="Times New Roman"/>
          <w:sz w:val="20"/>
          <w:szCs w:val="20"/>
        </w:rPr>
        <w:t xml:space="preserve"> cooperation, collaboration and coordinated service delivery that complements and</w:t>
      </w:r>
    </w:p>
    <w:p w14:paraId="0E3057B5" w14:textId="77777777" w:rsidR="00090666" w:rsidRPr="00153551" w:rsidRDefault="00090666" w:rsidP="00090666">
      <w:pPr>
        <w:spacing w:after="0" w:line="240" w:lineRule="auto"/>
        <w:rPr>
          <w:rFonts w:ascii="Calibri" w:eastAsia="MS Mincho" w:hAnsi="Calibri" w:cs="Times New Roman"/>
          <w:sz w:val="20"/>
          <w:szCs w:val="20"/>
        </w:rPr>
      </w:pPr>
      <w:r w:rsidRPr="00153551">
        <w:rPr>
          <w:rFonts w:ascii="Calibri" w:eastAsia="MS Mincho" w:hAnsi="Calibri" w:cs="Times New Roman"/>
          <w:sz w:val="20"/>
          <w:szCs w:val="20"/>
        </w:rPr>
        <w:t xml:space="preserve">     </w:t>
      </w:r>
      <w:proofErr w:type="gramStart"/>
      <w:r w:rsidRPr="00153551">
        <w:rPr>
          <w:rFonts w:ascii="Calibri" w:eastAsia="MS Mincho" w:hAnsi="Calibri" w:cs="Times New Roman"/>
          <w:sz w:val="20"/>
          <w:szCs w:val="20"/>
        </w:rPr>
        <w:t>minimises</w:t>
      </w:r>
      <w:proofErr w:type="gramEnd"/>
      <w:r w:rsidRPr="00153551">
        <w:rPr>
          <w:rFonts w:ascii="Calibri" w:eastAsia="MS Mincho" w:hAnsi="Calibri" w:cs="Times New Roman"/>
          <w:sz w:val="20"/>
          <w:szCs w:val="20"/>
        </w:rPr>
        <w:t xml:space="preserve"> duplication.</w:t>
      </w:r>
    </w:p>
    <w:p w14:paraId="6FA1695B" w14:textId="77777777" w:rsidR="00090666" w:rsidRPr="00153551" w:rsidRDefault="00090666" w:rsidP="00090666">
      <w:pPr>
        <w:spacing w:after="0" w:line="240" w:lineRule="auto"/>
        <w:rPr>
          <w:rFonts w:ascii="Calibri" w:eastAsia="MS Mincho" w:hAnsi="Calibri" w:cs="Times New Roman"/>
          <w:sz w:val="20"/>
          <w:szCs w:val="20"/>
        </w:rPr>
      </w:pPr>
      <w:r w:rsidRPr="00153551">
        <w:rPr>
          <w:rFonts w:ascii="Calibri" w:eastAsia="MS Mincho" w:hAnsi="Calibri" w:cs="Times New Roman"/>
          <w:sz w:val="20"/>
          <w:szCs w:val="20"/>
        </w:rPr>
        <w:t xml:space="preserve">6. </w:t>
      </w:r>
      <w:r w:rsidRPr="00153551">
        <w:rPr>
          <w:rFonts w:ascii="Calibri" w:eastAsia="MS Mincho" w:hAnsi="Calibri" w:cs="Times New Roman"/>
          <w:b/>
          <w:sz w:val="20"/>
          <w:szCs w:val="20"/>
        </w:rPr>
        <w:t>Sustainability of service provision</w:t>
      </w:r>
      <w:r w:rsidRPr="00153551">
        <w:rPr>
          <w:rFonts w:ascii="Calibri" w:eastAsia="MS Mincho" w:hAnsi="Calibri" w:cs="Times New Roman"/>
          <w:sz w:val="20"/>
          <w:szCs w:val="20"/>
        </w:rPr>
        <w:t xml:space="preserve"> – moving away from sole reliance on NGOs to state provision</w:t>
      </w:r>
    </w:p>
    <w:p w14:paraId="1E53C784" w14:textId="77777777" w:rsidR="00090666" w:rsidRPr="00153551" w:rsidRDefault="00090666" w:rsidP="00090666">
      <w:pPr>
        <w:spacing w:after="0" w:line="240" w:lineRule="auto"/>
        <w:rPr>
          <w:rFonts w:ascii="Calibri" w:eastAsia="MS Mincho" w:hAnsi="Calibri" w:cs="Times New Roman"/>
          <w:sz w:val="20"/>
          <w:szCs w:val="20"/>
        </w:rPr>
      </w:pPr>
      <w:r w:rsidRPr="00153551">
        <w:rPr>
          <w:rFonts w:ascii="Calibri" w:eastAsia="MS Mincho" w:hAnsi="Calibri" w:cs="Times New Roman"/>
          <w:sz w:val="20"/>
          <w:szCs w:val="20"/>
        </w:rPr>
        <w:t xml:space="preserve">7. </w:t>
      </w:r>
      <w:r w:rsidRPr="00153551">
        <w:rPr>
          <w:rFonts w:ascii="Calibri" w:eastAsia="MS Mincho" w:hAnsi="Calibri" w:cs="Times New Roman"/>
          <w:b/>
          <w:sz w:val="20"/>
          <w:szCs w:val="20"/>
        </w:rPr>
        <w:t>Commitment to keep women out of prison -</w:t>
      </w:r>
      <w:r w:rsidRPr="00153551">
        <w:rPr>
          <w:rFonts w:ascii="Calibri" w:eastAsia="MS Mincho" w:hAnsi="Calibri" w:cs="Times New Roman"/>
          <w:sz w:val="20"/>
          <w:szCs w:val="20"/>
        </w:rPr>
        <w:t xml:space="preserve"> as many of their crimes are related to DV, abuse</w:t>
      </w:r>
    </w:p>
    <w:p w14:paraId="0F19C562" w14:textId="77777777" w:rsidR="00090666" w:rsidRPr="00153551" w:rsidRDefault="00090666" w:rsidP="00090666">
      <w:pPr>
        <w:spacing w:after="0" w:line="240" w:lineRule="auto"/>
        <w:rPr>
          <w:rFonts w:ascii="Calibri" w:eastAsia="MS Mincho" w:hAnsi="Calibri" w:cs="Times New Roman"/>
          <w:sz w:val="20"/>
          <w:szCs w:val="20"/>
        </w:rPr>
      </w:pPr>
      <w:r w:rsidRPr="00153551">
        <w:rPr>
          <w:rFonts w:ascii="Calibri" w:eastAsia="MS Mincho" w:hAnsi="Calibri" w:cs="Times New Roman"/>
          <w:sz w:val="20"/>
          <w:szCs w:val="20"/>
        </w:rPr>
        <w:t xml:space="preserve">    </w:t>
      </w:r>
      <w:proofErr w:type="gramStart"/>
      <w:r w:rsidRPr="00153551">
        <w:rPr>
          <w:rFonts w:ascii="Calibri" w:eastAsia="MS Mincho" w:hAnsi="Calibri" w:cs="Times New Roman"/>
          <w:sz w:val="20"/>
          <w:szCs w:val="20"/>
        </w:rPr>
        <w:t>and</w:t>
      </w:r>
      <w:proofErr w:type="gramEnd"/>
      <w:r w:rsidRPr="00153551">
        <w:rPr>
          <w:rFonts w:ascii="Calibri" w:eastAsia="MS Mincho" w:hAnsi="Calibri" w:cs="Times New Roman"/>
          <w:sz w:val="20"/>
          <w:szCs w:val="20"/>
        </w:rPr>
        <w:t xml:space="preserve"> exploitation.</w:t>
      </w:r>
    </w:p>
    <w:p w14:paraId="6AB5FD71" w14:textId="77777777" w:rsidR="00090666" w:rsidRPr="00153551" w:rsidRDefault="00090666" w:rsidP="00090666">
      <w:pPr>
        <w:spacing w:after="0" w:line="240" w:lineRule="auto"/>
        <w:rPr>
          <w:rFonts w:ascii="Calibri" w:eastAsia="MS Mincho" w:hAnsi="Calibri" w:cs="Times New Roman"/>
          <w:sz w:val="20"/>
          <w:szCs w:val="20"/>
        </w:rPr>
      </w:pPr>
      <w:r w:rsidRPr="00153551">
        <w:rPr>
          <w:rFonts w:ascii="Calibri" w:eastAsia="MS Mincho" w:hAnsi="Calibri" w:cs="Times New Roman"/>
          <w:sz w:val="20"/>
          <w:szCs w:val="20"/>
        </w:rPr>
        <w:t xml:space="preserve">8. </w:t>
      </w:r>
      <w:r w:rsidRPr="00153551">
        <w:rPr>
          <w:rFonts w:ascii="Calibri" w:eastAsia="MS Mincho" w:hAnsi="Calibri" w:cs="Times New Roman"/>
          <w:b/>
          <w:sz w:val="20"/>
          <w:szCs w:val="20"/>
        </w:rPr>
        <w:t>Confidentiality</w:t>
      </w:r>
      <w:r w:rsidRPr="00153551">
        <w:rPr>
          <w:rFonts w:ascii="Calibri" w:eastAsia="MS Mincho" w:hAnsi="Calibri" w:cs="Times New Roman"/>
          <w:sz w:val="20"/>
          <w:szCs w:val="20"/>
        </w:rPr>
        <w:t xml:space="preserve"> –women’s confidentiality is respected and observed and they are made aware of </w:t>
      </w:r>
    </w:p>
    <w:p w14:paraId="62C8C4C5" w14:textId="77777777" w:rsidR="00090666" w:rsidRPr="00153551" w:rsidRDefault="00090666" w:rsidP="00090666">
      <w:pPr>
        <w:spacing w:after="0" w:line="240" w:lineRule="auto"/>
        <w:rPr>
          <w:rFonts w:ascii="Calibri" w:eastAsia="MS Mincho" w:hAnsi="Calibri" w:cs="Times New Roman"/>
          <w:sz w:val="20"/>
          <w:szCs w:val="20"/>
        </w:rPr>
      </w:pPr>
      <w:r w:rsidRPr="00153551">
        <w:rPr>
          <w:rFonts w:ascii="Calibri" w:eastAsia="MS Mincho" w:hAnsi="Calibri" w:cs="Times New Roman"/>
          <w:sz w:val="20"/>
          <w:szCs w:val="20"/>
        </w:rPr>
        <w:t xml:space="preserve">     </w:t>
      </w:r>
      <w:proofErr w:type="gramStart"/>
      <w:r w:rsidRPr="00153551">
        <w:rPr>
          <w:rFonts w:ascii="Calibri" w:eastAsia="MS Mincho" w:hAnsi="Calibri" w:cs="Times New Roman"/>
          <w:sz w:val="20"/>
          <w:szCs w:val="20"/>
        </w:rPr>
        <w:t>situations</w:t>
      </w:r>
      <w:proofErr w:type="gramEnd"/>
      <w:r w:rsidRPr="00153551">
        <w:rPr>
          <w:rFonts w:ascii="Calibri" w:eastAsia="MS Mincho" w:hAnsi="Calibri" w:cs="Times New Roman"/>
          <w:sz w:val="20"/>
          <w:szCs w:val="20"/>
        </w:rPr>
        <w:t xml:space="preserve"> where their confidentiality may be limited.</w:t>
      </w:r>
    </w:p>
    <w:p w14:paraId="4B31A8E9" w14:textId="77777777" w:rsidR="00090666" w:rsidRPr="00153551" w:rsidRDefault="00090666" w:rsidP="00090666">
      <w:pPr>
        <w:spacing w:after="0" w:line="240" w:lineRule="auto"/>
        <w:rPr>
          <w:rFonts w:ascii="Calibri" w:eastAsia="MS Mincho" w:hAnsi="Calibri" w:cs="Times New Roman"/>
          <w:sz w:val="20"/>
          <w:szCs w:val="20"/>
        </w:rPr>
      </w:pPr>
      <w:r w:rsidRPr="00153551">
        <w:rPr>
          <w:rFonts w:ascii="Calibri" w:eastAsia="MS Mincho" w:hAnsi="Calibri" w:cs="Times New Roman"/>
          <w:sz w:val="20"/>
          <w:szCs w:val="20"/>
        </w:rPr>
        <w:t>9.</w:t>
      </w:r>
      <w:r w:rsidRPr="00153551">
        <w:rPr>
          <w:rFonts w:ascii="Calibri" w:eastAsia="MS Mincho" w:hAnsi="Calibri" w:cs="Times New Roman"/>
          <w:b/>
          <w:sz w:val="20"/>
          <w:szCs w:val="20"/>
        </w:rPr>
        <w:t xml:space="preserve"> Advocacy</w:t>
      </w:r>
      <w:r w:rsidRPr="00153551">
        <w:rPr>
          <w:rFonts w:ascii="Calibri" w:eastAsia="MS Mincho" w:hAnsi="Calibri" w:cs="Times New Roman"/>
          <w:sz w:val="20"/>
          <w:szCs w:val="20"/>
        </w:rPr>
        <w:t xml:space="preserve"> – workers advocate for the needs of women affected by DV and abuse on an individual </w:t>
      </w:r>
    </w:p>
    <w:p w14:paraId="4B29C956" w14:textId="77777777" w:rsidR="00090666" w:rsidRPr="00153551" w:rsidRDefault="00090666" w:rsidP="00090666">
      <w:pPr>
        <w:spacing w:after="0" w:line="240" w:lineRule="auto"/>
        <w:rPr>
          <w:rFonts w:ascii="Calibri" w:eastAsia="MS Mincho" w:hAnsi="Calibri" w:cs="Times New Roman"/>
          <w:sz w:val="20"/>
          <w:szCs w:val="20"/>
        </w:rPr>
      </w:pPr>
      <w:r w:rsidRPr="00153551">
        <w:rPr>
          <w:rFonts w:ascii="Calibri" w:eastAsia="MS Mincho" w:hAnsi="Calibri" w:cs="Times New Roman"/>
          <w:sz w:val="20"/>
          <w:szCs w:val="20"/>
        </w:rPr>
        <w:t xml:space="preserve">     </w:t>
      </w:r>
      <w:proofErr w:type="gramStart"/>
      <w:r w:rsidRPr="00153551">
        <w:rPr>
          <w:rFonts w:ascii="Calibri" w:eastAsia="MS Mincho" w:hAnsi="Calibri" w:cs="Times New Roman"/>
          <w:sz w:val="20"/>
          <w:szCs w:val="20"/>
        </w:rPr>
        <w:t>basis</w:t>
      </w:r>
      <w:proofErr w:type="gramEnd"/>
      <w:r w:rsidRPr="00153551">
        <w:rPr>
          <w:rFonts w:ascii="Calibri" w:eastAsia="MS Mincho" w:hAnsi="Calibri" w:cs="Times New Roman"/>
          <w:sz w:val="20"/>
          <w:szCs w:val="20"/>
        </w:rPr>
        <w:t xml:space="preserve"> as requested by the women and with her consent</w:t>
      </w:r>
    </w:p>
    <w:p w14:paraId="1D1DC827" w14:textId="77777777" w:rsidR="00090666" w:rsidRPr="00153551" w:rsidRDefault="00090666" w:rsidP="00090666">
      <w:pPr>
        <w:spacing w:after="0" w:line="240" w:lineRule="auto"/>
        <w:rPr>
          <w:rFonts w:ascii="Calibri" w:eastAsia="MS Mincho" w:hAnsi="Calibri" w:cs="Times New Roman"/>
          <w:sz w:val="20"/>
          <w:szCs w:val="20"/>
        </w:rPr>
      </w:pPr>
      <w:r w:rsidRPr="00153551">
        <w:rPr>
          <w:rFonts w:ascii="Calibri" w:eastAsia="MS Mincho" w:hAnsi="Calibri" w:cs="Times New Roman"/>
          <w:sz w:val="20"/>
          <w:szCs w:val="20"/>
        </w:rPr>
        <w:t xml:space="preserve">10. </w:t>
      </w:r>
      <w:r w:rsidRPr="00153551">
        <w:rPr>
          <w:rFonts w:ascii="Calibri" w:eastAsia="MS Mincho" w:hAnsi="Calibri" w:cs="Times New Roman"/>
          <w:b/>
          <w:sz w:val="20"/>
          <w:szCs w:val="20"/>
        </w:rPr>
        <w:t>Focussing attention</w:t>
      </w:r>
      <w:r w:rsidRPr="00153551">
        <w:rPr>
          <w:rFonts w:ascii="Calibri" w:eastAsia="MS Mincho" w:hAnsi="Calibri" w:cs="Times New Roman"/>
          <w:sz w:val="20"/>
          <w:szCs w:val="20"/>
        </w:rPr>
        <w:t xml:space="preserve"> on children - recognising that early intervention is needed to break the cycle</w:t>
      </w:r>
    </w:p>
    <w:p w14:paraId="1A9446D4" w14:textId="77777777" w:rsidR="00090666" w:rsidRPr="00153551" w:rsidRDefault="00090666" w:rsidP="00090666">
      <w:pPr>
        <w:spacing w:after="0" w:line="240" w:lineRule="auto"/>
        <w:rPr>
          <w:rFonts w:ascii="Calibri" w:eastAsia="MS Mincho" w:hAnsi="Calibri" w:cs="Times New Roman"/>
          <w:sz w:val="20"/>
          <w:szCs w:val="20"/>
        </w:rPr>
      </w:pPr>
      <w:r w:rsidRPr="00153551">
        <w:rPr>
          <w:rFonts w:ascii="Calibri" w:eastAsia="MS Mincho" w:hAnsi="Calibri" w:cs="Times New Roman"/>
          <w:sz w:val="20"/>
          <w:szCs w:val="20"/>
        </w:rPr>
        <w:t xml:space="preserve">      </w:t>
      </w:r>
      <w:proofErr w:type="gramStart"/>
      <w:r w:rsidRPr="00153551">
        <w:rPr>
          <w:rFonts w:ascii="Calibri" w:eastAsia="MS Mincho" w:hAnsi="Calibri" w:cs="Times New Roman"/>
          <w:sz w:val="20"/>
          <w:szCs w:val="20"/>
        </w:rPr>
        <w:t>of</w:t>
      </w:r>
      <w:proofErr w:type="gramEnd"/>
      <w:r w:rsidRPr="00153551">
        <w:rPr>
          <w:rFonts w:ascii="Calibri" w:eastAsia="MS Mincho" w:hAnsi="Calibri" w:cs="Times New Roman"/>
          <w:sz w:val="20"/>
          <w:szCs w:val="20"/>
        </w:rPr>
        <w:t xml:space="preserve"> abuse  </w:t>
      </w:r>
    </w:p>
    <w:p w14:paraId="456DF181" w14:textId="77777777" w:rsidR="00090666" w:rsidRPr="00153551" w:rsidRDefault="00090666" w:rsidP="00090666">
      <w:pPr>
        <w:spacing w:after="0" w:line="240" w:lineRule="auto"/>
        <w:rPr>
          <w:rFonts w:ascii="Calibri" w:eastAsia="MS Mincho" w:hAnsi="Calibri" w:cs="Times New Roman"/>
          <w:sz w:val="20"/>
          <w:szCs w:val="20"/>
        </w:rPr>
      </w:pPr>
    </w:p>
    <w:p w14:paraId="25D6CE70" w14:textId="77777777" w:rsidR="00090666" w:rsidRPr="00153551" w:rsidRDefault="00090666" w:rsidP="00090666">
      <w:pPr>
        <w:spacing w:after="0" w:line="240" w:lineRule="auto"/>
        <w:rPr>
          <w:rFonts w:ascii="Calibri" w:eastAsia="MS Mincho" w:hAnsi="Calibri" w:cs="Times New Roman"/>
          <w:sz w:val="20"/>
          <w:szCs w:val="20"/>
        </w:rPr>
      </w:pPr>
      <w:r w:rsidRPr="00153551">
        <w:rPr>
          <w:rFonts w:ascii="Calibri" w:eastAsia="MS Mincho" w:hAnsi="Calibri" w:cs="Times New Roman"/>
          <w:sz w:val="20"/>
          <w:szCs w:val="20"/>
        </w:rPr>
        <w:t>Further, responses to meeting the needs of women with multiple needs should:</w:t>
      </w:r>
    </w:p>
    <w:p w14:paraId="3CBA59BB" w14:textId="77777777" w:rsidR="00090666" w:rsidRPr="00153551" w:rsidRDefault="00090666" w:rsidP="00090666">
      <w:pPr>
        <w:numPr>
          <w:ilvl w:val="0"/>
          <w:numId w:val="2"/>
        </w:numPr>
        <w:spacing w:after="0" w:line="240" w:lineRule="auto"/>
        <w:contextualSpacing/>
        <w:rPr>
          <w:rFonts w:ascii="Calibri" w:eastAsia="MS Mincho" w:hAnsi="Calibri" w:cs="Times New Roman"/>
          <w:sz w:val="20"/>
          <w:szCs w:val="20"/>
        </w:rPr>
      </w:pPr>
      <w:r w:rsidRPr="00153551">
        <w:rPr>
          <w:rFonts w:ascii="Calibri" w:eastAsia="MS Mincho" w:hAnsi="Calibri" w:cs="Times New Roman"/>
          <w:sz w:val="20"/>
          <w:szCs w:val="20"/>
        </w:rPr>
        <w:t>Be cost effective and include a cost benefit focus;</w:t>
      </w:r>
    </w:p>
    <w:p w14:paraId="541139DE" w14:textId="77777777" w:rsidR="00090666" w:rsidRPr="00153551" w:rsidRDefault="00090666" w:rsidP="00090666">
      <w:pPr>
        <w:numPr>
          <w:ilvl w:val="0"/>
          <w:numId w:val="1"/>
        </w:numPr>
        <w:spacing w:after="0" w:line="240" w:lineRule="auto"/>
        <w:contextualSpacing/>
        <w:rPr>
          <w:rFonts w:ascii="Calibri" w:eastAsia="MS Mincho" w:hAnsi="Calibri" w:cs="Times New Roman"/>
          <w:b/>
          <w:sz w:val="20"/>
          <w:szCs w:val="20"/>
        </w:rPr>
      </w:pPr>
      <w:r w:rsidRPr="00153551">
        <w:rPr>
          <w:rFonts w:ascii="Calibri" w:eastAsia="MS Mincho" w:hAnsi="Calibri" w:cs="Times New Roman"/>
          <w:sz w:val="20"/>
          <w:szCs w:val="20"/>
        </w:rPr>
        <w:t>Include compelling impact assessments;</w:t>
      </w:r>
    </w:p>
    <w:p w14:paraId="33E5D8CF" w14:textId="77777777" w:rsidR="00090666" w:rsidRPr="00153551" w:rsidRDefault="00090666" w:rsidP="00090666">
      <w:pPr>
        <w:numPr>
          <w:ilvl w:val="0"/>
          <w:numId w:val="1"/>
        </w:numPr>
        <w:spacing w:after="0" w:line="240" w:lineRule="auto"/>
        <w:contextualSpacing/>
        <w:rPr>
          <w:rFonts w:ascii="Calibri" w:eastAsia="MS Mincho" w:hAnsi="Calibri" w:cs="Times New Roman"/>
          <w:b/>
          <w:sz w:val="20"/>
          <w:szCs w:val="20"/>
        </w:rPr>
      </w:pPr>
      <w:r w:rsidRPr="00153551">
        <w:rPr>
          <w:rFonts w:ascii="Calibri" w:eastAsia="MS Mincho" w:hAnsi="Calibri" w:cs="Times New Roman"/>
          <w:sz w:val="20"/>
          <w:szCs w:val="20"/>
        </w:rPr>
        <w:t>Not replicate existing services and compete against each other for funding;</w:t>
      </w:r>
    </w:p>
    <w:p w14:paraId="13BB4AE7" w14:textId="77777777" w:rsidR="00090666" w:rsidRPr="00153551" w:rsidRDefault="00090666" w:rsidP="00090666">
      <w:pPr>
        <w:numPr>
          <w:ilvl w:val="0"/>
          <w:numId w:val="1"/>
        </w:numPr>
        <w:spacing w:after="0" w:line="240" w:lineRule="auto"/>
        <w:contextualSpacing/>
        <w:rPr>
          <w:rFonts w:ascii="Calibri" w:eastAsia="MS Mincho" w:hAnsi="Calibri" w:cs="Times New Roman"/>
          <w:sz w:val="20"/>
          <w:szCs w:val="20"/>
        </w:rPr>
      </w:pPr>
      <w:r w:rsidRPr="00153551">
        <w:rPr>
          <w:rFonts w:ascii="Calibri" w:eastAsia="MS Mincho" w:hAnsi="Calibri" w:cs="Times New Roman"/>
          <w:sz w:val="20"/>
          <w:szCs w:val="20"/>
        </w:rPr>
        <w:t>Be sustainable and not reliant on NGO or external funding;</w:t>
      </w:r>
    </w:p>
    <w:p w14:paraId="13354142" w14:textId="77777777" w:rsidR="00090666" w:rsidRPr="00153551" w:rsidRDefault="00090666" w:rsidP="00090666">
      <w:pPr>
        <w:numPr>
          <w:ilvl w:val="0"/>
          <w:numId w:val="1"/>
        </w:numPr>
        <w:spacing w:after="0" w:line="240" w:lineRule="auto"/>
        <w:contextualSpacing/>
        <w:rPr>
          <w:rFonts w:ascii="Calibri" w:eastAsia="MS Mincho" w:hAnsi="Calibri" w:cs="Times New Roman"/>
          <w:sz w:val="20"/>
          <w:szCs w:val="20"/>
        </w:rPr>
      </w:pPr>
      <w:r w:rsidRPr="00153551">
        <w:rPr>
          <w:rFonts w:ascii="Calibri" w:eastAsia="MS Mincho" w:hAnsi="Calibri" w:cs="Times New Roman"/>
          <w:sz w:val="20"/>
          <w:szCs w:val="20"/>
        </w:rPr>
        <w:lastRenderedPageBreak/>
        <w:t>Include a joined-up approach across criminal justice systems;</w:t>
      </w:r>
    </w:p>
    <w:p w14:paraId="7D15436F" w14:textId="77777777" w:rsidR="00090666" w:rsidRPr="00153551" w:rsidRDefault="00090666" w:rsidP="00090666">
      <w:pPr>
        <w:numPr>
          <w:ilvl w:val="0"/>
          <w:numId w:val="1"/>
        </w:numPr>
        <w:spacing w:after="0" w:line="240" w:lineRule="auto"/>
        <w:contextualSpacing/>
        <w:rPr>
          <w:rFonts w:ascii="Calibri" w:eastAsia="MS Mincho" w:hAnsi="Calibri" w:cs="Times New Roman"/>
          <w:sz w:val="20"/>
          <w:szCs w:val="20"/>
        </w:rPr>
      </w:pPr>
      <w:r w:rsidRPr="00153551">
        <w:rPr>
          <w:rFonts w:ascii="Calibri" w:eastAsia="MS Mincho" w:hAnsi="Calibri" w:cs="Times New Roman"/>
          <w:sz w:val="20"/>
          <w:szCs w:val="20"/>
        </w:rPr>
        <w:t>Consist of committed partnerships;</w:t>
      </w:r>
    </w:p>
    <w:p w14:paraId="33C8FDF3" w14:textId="77777777" w:rsidR="00090666" w:rsidRPr="00153551" w:rsidRDefault="00090666" w:rsidP="00090666">
      <w:pPr>
        <w:numPr>
          <w:ilvl w:val="0"/>
          <w:numId w:val="1"/>
        </w:numPr>
        <w:spacing w:after="0" w:line="240" w:lineRule="auto"/>
        <w:contextualSpacing/>
        <w:rPr>
          <w:rFonts w:ascii="Calibri" w:eastAsia="MS Mincho" w:hAnsi="Calibri" w:cs="Times New Roman"/>
          <w:sz w:val="20"/>
          <w:szCs w:val="20"/>
        </w:rPr>
      </w:pPr>
      <w:r w:rsidRPr="00153551">
        <w:rPr>
          <w:rFonts w:ascii="Calibri" w:eastAsia="MS Mincho" w:hAnsi="Calibri" w:cs="Times New Roman"/>
          <w:sz w:val="20"/>
          <w:szCs w:val="20"/>
        </w:rPr>
        <w:t>Foster a highly collaborative community to share and adopt best practice;</w:t>
      </w:r>
    </w:p>
    <w:p w14:paraId="40C31A3C" w14:textId="77777777" w:rsidR="00090666" w:rsidRPr="00153551" w:rsidRDefault="00090666" w:rsidP="00090666">
      <w:pPr>
        <w:numPr>
          <w:ilvl w:val="0"/>
          <w:numId w:val="1"/>
        </w:numPr>
        <w:spacing w:after="0" w:line="240" w:lineRule="auto"/>
        <w:contextualSpacing/>
        <w:rPr>
          <w:rFonts w:ascii="Calibri" w:eastAsia="MS Mincho" w:hAnsi="Calibri" w:cs="Times New Roman"/>
          <w:sz w:val="20"/>
          <w:szCs w:val="20"/>
        </w:rPr>
      </w:pPr>
      <w:r w:rsidRPr="00153551">
        <w:rPr>
          <w:rFonts w:ascii="Calibri" w:eastAsia="MS Mincho" w:hAnsi="Calibri" w:cs="Times New Roman"/>
          <w:sz w:val="20"/>
          <w:szCs w:val="20"/>
        </w:rPr>
        <w:t>Lend themselves to standardisation;</w:t>
      </w:r>
    </w:p>
    <w:sectPr w:rsidR="00090666" w:rsidRPr="001535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0C1B"/>
    <w:multiLevelType w:val="hybridMultilevel"/>
    <w:tmpl w:val="1D96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6D2C0F"/>
    <w:multiLevelType w:val="hybridMultilevel"/>
    <w:tmpl w:val="0CA0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66"/>
    <w:rsid w:val="00090666"/>
    <w:rsid w:val="0014628C"/>
    <w:rsid w:val="00153551"/>
    <w:rsid w:val="002D7AAD"/>
    <w:rsid w:val="00973FCF"/>
    <w:rsid w:val="00A603B9"/>
    <w:rsid w:val="00B34A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68920"/>
  <w15:docId w15:val="{A77AFD2D-92B5-463D-9E15-4AC8400A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Kane</dc:creator>
  <cp:keywords/>
  <dc:description/>
  <cp:lastModifiedBy>David Kane</cp:lastModifiedBy>
  <cp:revision>6</cp:revision>
  <dcterms:created xsi:type="dcterms:W3CDTF">2015-04-13T15:16:00Z</dcterms:created>
  <dcterms:modified xsi:type="dcterms:W3CDTF">2015-05-22T10:17:00Z</dcterms:modified>
</cp:coreProperties>
</file>